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jc w:val="center"/>
        <w:textAlignment w:val="auto"/>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做好</w:t>
      </w: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22</w:t>
      </w:r>
      <w:r>
        <w:rPr>
          <w:rFonts w:hint="eastAsia" w:ascii="方正小标宋简体" w:eastAsia="方正小标宋简体"/>
          <w:sz w:val="44"/>
          <w:szCs w:val="44"/>
        </w:rPr>
        <w:t>年</w:t>
      </w:r>
      <w:r>
        <w:rPr>
          <w:rFonts w:hint="eastAsia" w:ascii="方正小标宋简体" w:eastAsia="方正小标宋简体"/>
          <w:sz w:val="44"/>
          <w:szCs w:val="44"/>
          <w:lang w:eastAsia="zh-CN"/>
        </w:rPr>
        <w:t>度全市</w:t>
      </w:r>
      <w:r>
        <w:rPr>
          <w:rFonts w:hint="eastAsia" w:ascii="方正小标宋简体" w:eastAsia="方正小标宋简体"/>
          <w:sz w:val="44"/>
          <w:szCs w:val="44"/>
        </w:rPr>
        <w:t>专业技术人员</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继续教育</w:t>
      </w:r>
      <w:r>
        <w:rPr>
          <w:rFonts w:hint="eastAsia" w:ascii="方正小标宋简体" w:eastAsia="方正小标宋简体"/>
          <w:sz w:val="44"/>
          <w:szCs w:val="44"/>
          <w:lang w:eastAsia="zh-CN"/>
        </w:rPr>
        <w:t>工作</w:t>
      </w:r>
      <w:r>
        <w:rPr>
          <w:rFonts w:hint="eastAsia" w:asci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2"/>
          <w:szCs w:val="32"/>
        </w:rPr>
      </w:pPr>
    </w:p>
    <w:p>
      <w:pPr>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各区市人力资源和社会保障局，国家级开发区科技创新局，南海新区党群与人力资源部，市直各部门（单位），各继续教育基地：</w:t>
      </w:r>
    </w:p>
    <w:p>
      <w:pPr>
        <w:pStyle w:val="6"/>
        <w:keepNext w:val="0"/>
        <w:keepLines w:val="0"/>
        <w:widowControl/>
        <w:suppressLineNumbers w:val="0"/>
        <w:autoSpaceDE w:val="0"/>
        <w:autoSpaceDN/>
        <w:spacing w:before="0" w:beforeAutospacing="0" w:after="0" w:afterAutospacing="0" w:line="555" w:lineRule="atLeast"/>
        <w:ind w:left="0" w:right="0"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为深入实施专业技术人员知识更新工程，加快全市专业技术人才队伍培养，为实施人才强市、创新驱动、乡村振兴、城市国际化等发展战略和新旧动能转换重大工程提供有力的专业技术人才支撑，根据《山东省专业技术人员继续教育条例》、《山东省人力资源和社会保障厅关于做好2022年度专业技术人员继续教育有关工作的通知》、《关于做好威海市专业技术人员继续教育学时管理认定的通知》（</w:t>
      </w:r>
      <w:r>
        <w:rPr>
          <w:rFonts w:hint="eastAsia" w:ascii="仿宋_GB2312" w:hAnsi="仿宋_GB2312" w:eastAsia="仿宋_GB2312" w:cs="仿宋_GB2312"/>
          <w:color w:val="auto"/>
          <w:sz w:val="32"/>
          <w:szCs w:val="32"/>
          <w:highlight w:val="none"/>
          <w:lang w:val="en-US" w:eastAsia="zh-CN"/>
        </w:rPr>
        <w:t>威人社字〔2022〕2号</w:t>
      </w:r>
      <w:r>
        <w:rPr>
          <w:rFonts w:hint="eastAsia" w:ascii="仿宋_GB2312" w:eastAsia="仿宋_GB2312"/>
          <w:color w:val="auto"/>
          <w:sz w:val="32"/>
          <w:szCs w:val="32"/>
          <w:lang w:val="en-US" w:eastAsia="zh-CN"/>
        </w:rPr>
        <w:t>）等要求，现就做好2022年度全市专业技术人员继续教育有关工作通知如下:</w:t>
      </w:r>
    </w:p>
    <w:p>
      <w:pPr>
        <w:ind w:firstLine="645"/>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专业技术人员继续教育培训内容及方式</w:t>
      </w:r>
    </w:p>
    <w:p>
      <w:pPr>
        <w:numPr>
          <w:ilvl w:val="0"/>
          <w:numId w:val="0"/>
        </w:numPr>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（一）继续教育学时要求</w:t>
      </w:r>
    </w:p>
    <w:p>
      <w:pPr>
        <w:numPr>
          <w:ilvl w:val="0"/>
          <w:numId w:val="0"/>
        </w:numPr>
        <w:ind w:firstLine="640" w:firstLineChars="200"/>
        <w:rPr>
          <w:rFonts w:hint="eastAsia" w:ascii="仿宋_GB2312" w:eastAsia="仿宋_GB2312" w:cstheme="minorBidi"/>
          <w:color w:val="auto"/>
          <w:kern w:val="0"/>
          <w:sz w:val="32"/>
          <w:szCs w:val="32"/>
          <w:lang w:val="en-US" w:eastAsia="zh-CN" w:bidi="ar"/>
        </w:rPr>
      </w:pPr>
      <w:r>
        <w:rPr>
          <w:rFonts w:hint="eastAsia" w:ascii="仿宋_GB2312" w:eastAsia="仿宋_GB2312" w:hAnsiTheme="minorHAnsi" w:cstheme="minorBidi"/>
          <w:color w:val="auto"/>
          <w:kern w:val="0"/>
          <w:sz w:val="32"/>
          <w:szCs w:val="32"/>
          <w:lang w:val="en-US" w:eastAsia="zh-CN" w:bidi="ar"/>
        </w:rPr>
        <w:t>专业技术人员应按规定参加继续教育，每年累计应不少于90学时，其中公需课不少于30学时，专业课不少于60学时。</w:t>
      </w:r>
      <w:r>
        <w:rPr>
          <w:rFonts w:hint="eastAsia" w:ascii="仿宋_GB2312" w:eastAsia="仿宋_GB2312" w:cstheme="minorBidi"/>
          <w:color w:val="auto"/>
          <w:kern w:val="0"/>
          <w:sz w:val="32"/>
          <w:szCs w:val="32"/>
          <w:lang w:val="en-US" w:eastAsia="zh-CN" w:bidi="ar"/>
        </w:rPr>
        <w:t xml:space="preserve">  </w:t>
      </w:r>
    </w:p>
    <w:p>
      <w:pPr>
        <w:numPr>
          <w:ilvl w:val="0"/>
          <w:numId w:val="0"/>
        </w:numPr>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（二）继续教育学习内容</w:t>
      </w:r>
    </w:p>
    <w:p>
      <w:pPr>
        <w:numPr>
          <w:ilvl w:val="0"/>
          <w:numId w:val="0"/>
        </w:num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公需科目：公需科目分为必修课和选修课，其中，必修课内容为习近平新时代中国特色社会主义思想、党的十九大和十九届历次全会精神、我省八大发展战略、十大创新以及专业技术人员职业道德和能力建设等方面，共计20学时；选修课内容为疫情防控、信息化及网络安全、电子商务、知识产权、人才国际化、人文素养等方面，每个专题各设5学时，专业技术人员可以根据专业领域和技术提升需求选修不少于10个学时课程。</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专业科目:根据省有关要求，各省级行业主管部门发布学习指南，我市各行业主管部门、用人单位根据可根据学习指南和我市行业、部门（单位）事业发展需要、专业技术人员工学需求组织实施，省市级继续教育基地应制定2022年度继续教育工作计划并报管理单位同意后组织实施。</w:t>
      </w:r>
    </w:p>
    <w:p>
      <w:pPr>
        <w:numPr>
          <w:ilvl w:val="0"/>
          <w:numId w:val="0"/>
        </w:numPr>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（三）继续教育学习的形式和途径</w:t>
      </w:r>
    </w:p>
    <w:p>
      <w:pPr>
        <w:numPr>
          <w:ilvl w:val="0"/>
          <w:numId w:val="0"/>
        </w:numPr>
        <w:ind w:firstLine="640" w:firstLineChars="200"/>
        <w:rPr>
          <w:rFonts w:hint="eastAsia" w:ascii="仿宋_GB2312" w:eastAsia="仿宋_GB2312"/>
          <w:sz w:val="32"/>
          <w:szCs w:val="32"/>
          <w:highlight w:val="none"/>
          <w:lang w:val="en-US" w:eastAsia="zh-CN"/>
        </w:rPr>
      </w:pPr>
      <w:r>
        <w:rPr>
          <w:rFonts w:hint="eastAsia" w:ascii="仿宋_GB2312" w:eastAsia="仿宋_GB2312"/>
          <w:color w:val="auto"/>
          <w:sz w:val="32"/>
          <w:szCs w:val="32"/>
          <w:lang w:val="en-US" w:eastAsia="zh-CN"/>
        </w:rPr>
        <w:t>1.公需科目：通过</w:t>
      </w:r>
      <w:r>
        <w:rPr>
          <w:rFonts w:hint="eastAsia" w:ascii="仿宋_GB2312" w:eastAsia="仿宋_GB2312"/>
          <w:sz w:val="32"/>
          <w:szCs w:val="32"/>
          <w:lang w:val="en-US" w:eastAsia="zh-CN"/>
        </w:rPr>
        <w:t>威海市专业技术人员继续教育服务平台（https://sdwh</w:t>
      </w:r>
      <w:r>
        <w:rPr>
          <w:rFonts w:hint="eastAsia" w:ascii="仿宋_GB2312" w:eastAsia="仿宋_GB2312"/>
          <w:sz w:val="32"/>
          <w:szCs w:val="32"/>
          <w:highlight w:val="none"/>
          <w:lang w:val="en-US" w:eastAsia="zh-CN"/>
        </w:rPr>
        <w:t>.yxlearning.com）的“公需科目网络培训”进行</w:t>
      </w:r>
      <w:r>
        <w:rPr>
          <w:rFonts w:hint="eastAsia" w:ascii="仿宋_GB2312" w:eastAsia="仿宋_GB2312"/>
          <w:color w:val="auto"/>
          <w:sz w:val="32"/>
          <w:szCs w:val="32"/>
          <w:highlight w:val="none"/>
          <w:lang w:val="en-US" w:eastAsia="zh-CN"/>
        </w:rPr>
        <w:t>免费线上学习</w:t>
      </w:r>
      <w:r>
        <w:rPr>
          <w:rFonts w:hint="eastAsia" w:ascii="仿宋_GB2312" w:eastAsia="仿宋_GB2312"/>
          <w:sz w:val="32"/>
          <w:szCs w:val="32"/>
          <w:highlight w:val="none"/>
          <w:lang w:val="en-US" w:eastAsia="zh-CN"/>
        </w:rPr>
        <w:t>，或通过山东省专业技术人员继续教育公共服务平台（http://117.73.255.69:9080/）公布的公需科目进行在线学习。</w:t>
      </w:r>
    </w:p>
    <w:p>
      <w:pPr>
        <w:numPr>
          <w:ilvl w:val="0"/>
          <w:numId w:val="0"/>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sz w:val="32"/>
          <w:szCs w:val="32"/>
          <w:lang w:val="en-US" w:eastAsia="zh-CN"/>
        </w:rPr>
        <w:t>2.专业科目:可采取远程教育和线下培训等多种形式开展。</w:t>
      </w:r>
      <w:r>
        <w:rPr>
          <w:rFonts w:hint="eastAsia" w:ascii="仿宋_GB2312" w:hAnsi="仿宋_GB2312" w:eastAsia="仿宋_GB2312" w:cs="仿宋_GB2312"/>
          <w:color w:val="auto"/>
          <w:sz w:val="32"/>
          <w:szCs w:val="32"/>
          <w:lang w:val="en-US" w:eastAsia="zh-CN"/>
        </w:rPr>
        <w:t>为便于广大专业技术人员学习，威海市专业技术人员继续教育服务平台</w:t>
      </w:r>
      <w:r>
        <w:rPr>
          <w:rFonts w:hint="eastAsia" w:ascii="仿宋_GB2312" w:eastAsia="仿宋_GB2312"/>
          <w:sz w:val="32"/>
          <w:szCs w:val="32"/>
          <w:lang w:val="en-US" w:eastAsia="zh-CN"/>
        </w:rPr>
        <w:t>（https://sdwh.yxlearning.com）提供了</w:t>
      </w:r>
      <w:r>
        <w:rPr>
          <w:rFonts w:hint="eastAsia" w:ascii="仿宋_GB2312" w:eastAsia="仿宋_GB2312"/>
          <w:color w:val="auto"/>
          <w:sz w:val="32"/>
          <w:szCs w:val="32"/>
          <w:lang w:val="en-US" w:eastAsia="zh-CN"/>
        </w:rPr>
        <w:t>50多个系列（专业）的网络</w:t>
      </w:r>
      <w:r>
        <w:rPr>
          <w:rFonts w:hint="eastAsia" w:ascii="仿宋_GB2312" w:eastAsia="仿宋_GB2312"/>
          <w:sz w:val="32"/>
          <w:szCs w:val="32"/>
          <w:lang w:val="en-US" w:eastAsia="zh-CN"/>
        </w:rPr>
        <w:t>学习课程，专业技术人员可通过服务平台中的“专业科目网络培训”进行在线学习。各级行业主管部门、人力资源社会保障部门可开展面向本行业、本地区的培训活动，卫生、会计等行业主管部门对其领域专业科目有专门要求的，从其规定。省市级继续教育基地可开展面向全市的培</w:t>
      </w:r>
      <w:r>
        <w:rPr>
          <w:rFonts w:hint="eastAsia" w:ascii="仿宋_GB2312" w:eastAsia="仿宋_GB2312"/>
          <w:color w:val="auto"/>
          <w:sz w:val="32"/>
          <w:szCs w:val="32"/>
          <w:lang w:val="en-US" w:eastAsia="zh-CN"/>
        </w:rPr>
        <w:t>训活动，</w:t>
      </w:r>
      <w:r>
        <w:rPr>
          <w:rFonts w:hint="eastAsia" w:ascii="仿宋_GB2312" w:eastAsia="仿宋_GB2312"/>
          <w:color w:val="auto"/>
          <w:sz w:val="32"/>
          <w:szCs w:val="32"/>
          <w:highlight w:val="none"/>
          <w:lang w:val="en-US" w:eastAsia="zh-CN"/>
        </w:rPr>
        <w:t>其中威海海洋职业学院的互联网+专业技术人员继续教育平台（http://120.27.4.216/news/index.html）、山东农友软件有限公司的农友教育培训综合服务平台（http://edu.inongyou.cn/）提供在线网络培训。</w:t>
      </w:r>
    </w:p>
    <w:p>
      <w:pPr>
        <w:numPr>
          <w:ilvl w:val="0"/>
          <w:numId w:val="0"/>
        </w:numPr>
        <w:ind w:firstLine="640" w:firstLineChars="200"/>
        <w:rPr>
          <w:rFonts w:hint="eastAsia" w:ascii="黑体" w:hAnsi="黑体" w:eastAsia="黑体" w:cs="黑体"/>
          <w:color w:val="000000" w:themeColor="text1"/>
          <w:sz w:val="32"/>
          <w:szCs w:val="32"/>
          <w:highlight w:val="none"/>
          <w:lang w:val="en-US" w:eastAsia="zh-CN"/>
        </w:rPr>
      </w:pPr>
      <w:r>
        <w:rPr>
          <w:rFonts w:hint="eastAsia" w:ascii="黑体" w:hAnsi="黑体" w:eastAsia="黑体" w:cs="黑体"/>
          <w:color w:val="000000" w:themeColor="text1"/>
          <w:sz w:val="32"/>
          <w:szCs w:val="32"/>
          <w:highlight w:val="none"/>
          <w:lang w:val="en-US" w:eastAsia="zh-CN"/>
        </w:rPr>
        <w:t>二、专业技术人员继续教育学时认定</w:t>
      </w:r>
    </w:p>
    <w:p>
      <w:pPr>
        <w:numPr>
          <w:ilvl w:val="0"/>
          <w:numId w:val="0"/>
        </w:numPr>
        <w:ind w:firstLine="640" w:firstLineChars="200"/>
        <w:rPr>
          <w:rFonts w:hint="eastAsia" w:ascii="仿宋_GB2312" w:eastAsia="仿宋_GB2312"/>
          <w:sz w:val="32"/>
          <w:szCs w:val="32"/>
          <w:lang w:val="en-US" w:eastAsia="zh-CN"/>
        </w:rPr>
      </w:pPr>
      <w:r>
        <w:rPr>
          <w:rFonts w:hint="eastAsia" w:ascii="楷体_GB2312" w:hAnsi="楷体_GB2312" w:eastAsia="楷体_GB2312" w:cs="楷体_GB2312"/>
          <w:b w:val="0"/>
          <w:bCs w:val="0"/>
          <w:i w:val="0"/>
          <w:iCs w:val="0"/>
          <w:color w:val="000000" w:themeColor="text1"/>
          <w:sz w:val="32"/>
          <w:szCs w:val="32"/>
          <w:highlight w:val="none"/>
          <w:lang w:val="en-US" w:eastAsia="zh-CN"/>
        </w:rPr>
        <w:t>（一）学时自动记录。</w:t>
      </w:r>
      <w:r>
        <w:rPr>
          <w:rFonts w:hint="eastAsia" w:ascii="仿宋_GB2312" w:hAnsi="仿宋_GB2312" w:eastAsia="仿宋_GB2312" w:cs="仿宋_GB2312"/>
          <w:color w:val="000000" w:themeColor="text1"/>
          <w:sz w:val="32"/>
          <w:szCs w:val="32"/>
          <w:highlight w:val="none"/>
          <w:lang w:val="en-US" w:eastAsia="zh-CN"/>
        </w:rPr>
        <w:t>我市专业技术人员通过</w:t>
      </w:r>
      <w:r>
        <w:rPr>
          <w:rFonts w:hint="eastAsia" w:ascii="仿宋_GB2312" w:eastAsia="仿宋_GB2312"/>
          <w:sz w:val="32"/>
          <w:szCs w:val="32"/>
          <w:lang w:val="en-US" w:eastAsia="zh-CN"/>
        </w:rPr>
        <w:t>威海市专业技术人员继续教育服务平台提供的</w:t>
      </w:r>
      <w:r>
        <w:rPr>
          <w:rFonts w:hint="eastAsia" w:ascii="仿宋_GB2312" w:hAnsi="仿宋_GB2312" w:eastAsia="仿宋_GB2312" w:cs="仿宋_GB2312"/>
          <w:color w:val="000000" w:themeColor="text1"/>
          <w:sz w:val="32"/>
          <w:szCs w:val="32"/>
          <w:highlight w:val="none"/>
          <w:lang w:val="en-US" w:eastAsia="zh-CN"/>
        </w:rPr>
        <w:t>线上公需科目和专业科目培训取得的学时，将自动记录到个人账户的“学习档案”和“年度完成情况”中，</w:t>
      </w:r>
      <w:r>
        <w:rPr>
          <w:rFonts w:hint="eastAsia" w:ascii="仿宋_GB2312" w:hAnsi="仿宋_GB2312" w:eastAsia="仿宋_GB2312" w:cs="仿宋_GB2312"/>
          <w:b/>
          <w:bCs/>
          <w:color w:val="000000" w:themeColor="text1"/>
          <w:sz w:val="32"/>
          <w:szCs w:val="32"/>
          <w:highlight w:val="none"/>
          <w:lang w:val="en-US" w:eastAsia="zh-CN"/>
        </w:rPr>
        <w:t>无需申报认定。</w:t>
      </w:r>
      <w:r>
        <w:rPr>
          <w:rFonts w:hint="eastAsia" w:ascii="仿宋_GB2312" w:eastAsia="仿宋_GB2312"/>
          <w:sz w:val="32"/>
          <w:szCs w:val="32"/>
          <w:lang w:val="en-US" w:eastAsia="zh-CN"/>
        </w:rPr>
        <w:t>其中，公需科目学习结束需通过考试合格后取得相应学时，参训人员有两次考试机会，两次考试不合格者需申请重新学习。</w:t>
      </w:r>
    </w:p>
    <w:p>
      <w:pPr>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b w:val="0"/>
          <w:bCs w:val="0"/>
          <w:i w:val="0"/>
          <w:iCs w:val="0"/>
          <w:color w:val="000000" w:themeColor="text1"/>
          <w:sz w:val="32"/>
          <w:szCs w:val="32"/>
          <w:highlight w:val="none"/>
          <w:lang w:val="en-US" w:eastAsia="zh-CN"/>
        </w:rPr>
        <w:t>（二）学时申报认定。</w:t>
      </w:r>
      <w:r>
        <w:rPr>
          <w:rFonts w:hint="eastAsia" w:ascii="仿宋_GB2312" w:hAnsi="仿宋_GB2312" w:eastAsia="仿宋_GB2312" w:cs="仿宋_GB2312"/>
          <w:color w:val="000000" w:themeColor="text1"/>
          <w:sz w:val="32"/>
          <w:szCs w:val="32"/>
          <w:highlight w:val="none"/>
          <w:lang w:val="en-US" w:eastAsia="zh-CN"/>
        </w:rPr>
        <w:t>我市专业技术人员通过参加其他各类培训进修、专家服务、自学考试及成果著作等方式取得的学时</w:t>
      </w:r>
      <w:r>
        <w:rPr>
          <w:rFonts w:hint="eastAsia" w:ascii="仿宋_GB2312" w:hAnsi="仿宋_GB2312" w:eastAsia="仿宋_GB2312" w:cs="仿宋_GB2312"/>
          <w:color w:val="auto"/>
          <w:sz w:val="32"/>
          <w:szCs w:val="32"/>
          <w:highlight w:val="none"/>
          <w:lang w:val="en-US" w:eastAsia="zh-CN"/>
        </w:rPr>
        <w:t>，需按照《关于做好威海市专业技术人员继续教育学时管理认定工作的通知》（威人社字〔2022〕2号）有关规定，通过</w:t>
      </w:r>
      <w:r>
        <w:rPr>
          <w:rFonts w:hint="eastAsia" w:ascii="仿宋_GB2312" w:eastAsia="仿宋_GB2312"/>
          <w:sz w:val="32"/>
          <w:szCs w:val="32"/>
          <w:lang w:val="en-US" w:eastAsia="zh-CN"/>
        </w:rPr>
        <w:t>威海市专业技术人员继续教育服务平台</w:t>
      </w:r>
      <w:r>
        <w:rPr>
          <w:rFonts w:hint="eastAsia" w:ascii="仿宋_GB2312" w:hAnsi="仿宋_GB2312" w:eastAsia="仿宋_GB2312" w:cs="仿宋_GB2312"/>
          <w:color w:val="auto"/>
          <w:sz w:val="32"/>
          <w:szCs w:val="32"/>
          <w:highlight w:val="none"/>
          <w:lang w:val="en-US" w:eastAsia="zh-CN"/>
        </w:rPr>
        <w:t>的</w:t>
      </w:r>
      <w:r>
        <w:rPr>
          <w:rFonts w:hint="eastAsia" w:ascii="仿宋_GB2312" w:eastAsia="仿宋_GB2312"/>
          <w:color w:val="auto"/>
          <w:sz w:val="32"/>
          <w:szCs w:val="32"/>
          <w:lang w:val="en-US" w:eastAsia="zh-CN"/>
        </w:rPr>
        <w:t>“学时申报”功能</w:t>
      </w:r>
      <w:r>
        <w:rPr>
          <w:rFonts w:hint="eastAsia" w:ascii="仿宋_GB2312" w:hAnsi="仿宋_GB2312" w:eastAsia="仿宋_GB2312" w:cs="仿宋_GB2312"/>
          <w:color w:val="auto"/>
          <w:sz w:val="32"/>
          <w:szCs w:val="32"/>
          <w:highlight w:val="none"/>
          <w:lang w:val="en-US" w:eastAsia="zh-CN"/>
        </w:rPr>
        <w:t>进行申报认定。经审核审验通过后，计入</w:t>
      </w:r>
      <w:r>
        <w:rPr>
          <w:rFonts w:hint="eastAsia" w:ascii="仿宋_GB2312" w:hAnsi="仿宋_GB2312" w:eastAsia="仿宋_GB2312" w:cs="仿宋_GB2312"/>
          <w:color w:val="000000" w:themeColor="text1"/>
          <w:sz w:val="32"/>
          <w:szCs w:val="32"/>
          <w:highlight w:val="none"/>
          <w:lang w:val="en-US" w:eastAsia="zh-CN"/>
        </w:rPr>
        <w:t>个人账户的“年度完成情况”中，并可</w:t>
      </w:r>
      <w:r>
        <w:rPr>
          <w:rFonts w:hint="eastAsia" w:ascii="仿宋_GB2312" w:hAnsi="仿宋_GB2312" w:eastAsia="仿宋_GB2312" w:cs="仿宋_GB2312"/>
          <w:color w:val="auto"/>
          <w:sz w:val="32"/>
          <w:szCs w:val="32"/>
          <w:highlight w:val="none"/>
          <w:lang w:val="en-US" w:eastAsia="zh-CN"/>
        </w:rPr>
        <w:t>打印《威海市专业技术人员继续教育学时验证书》，由单位和行业主管部门盖章。</w:t>
      </w:r>
      <w:r>
        <w:rPr>
          <w:rFonts w:hint="eastAsia" w:ascii="仿宋_GB2312" w:hAnsi="仿宋_GB2312" w:eastAsia="仿宋_GB2312" w:cs="仿宋_GB2312"/>
          <w:color w:val="auto"/>
          <w:kern w:val="2"/>
          <w:sz w:val="32"/>
          <w:szCs w:val="32"/>
          <w:highlight w:val="none"/>
          <w:lang w:val="en-US" w:eastAsia="zh-CN" w:bidi="ar-SA"/>
        </w:rPr>
        <w:t>根据《关于山东省专业技术人员继续教育公共服务平台上线和推行继续教育电子证书有关工作的通知》（鲁人社字〔2021〕167号）要求，我市专业技术人员继续教育服务平台将与省专业技术人员继续教育公共服务平台进行数据对接，</w:t>
      </w:r>
      <w:r>
        <w:rPr>
          <w:rFonts w:hint="eastAsia" w:ascii="仿宋_GB2312" w:hAnsi="仿宋_GB2312" w:eastAsia="仿宋_GB2312" w:cs="仿宋_GB2312"/>
          <w:b/>
          <w:bCs/>
          <w:color w:val="auto"/>
          <w:kern w:val="2"/>
          <w:sz w:val="32"/>
          <w:szCs w:val="32"/>
          <w:highlight w:val="none"/>
          <w:lang w:val="en-US" w:eastAsia="zh-CN" w:bidi="ar-SA"/>
        </w:rPr>
        <w:t>已在市继续教育服务平台注册使用的专业技术人员和用人单位无需重复注册省级服务平台。</w:t>
      </w:r>
      <w:r>
        <w:rPr>
          <w:rFonts w:hint="eastAsia" w:ascii="仿宋_GB2312" w:hAnsi="仿宋_GB2312" w:eastAsia="仿宋_GB2312" w:cs="仿宋_GB2312"/>
          <w:color w:val="auto"/>
          <w:kern w:val="2"/>
          <w:sz w:val="32"/>
          <w:szCs w:val="32"/>
          <w:highlight w:val="none"/>
          <w:lang w:val="en-US" w:eastAsia="zh-CN" w:bidi="ar-SA"/>
        </w:rPr>
        <w:t>平台对接完成后，专业技术人员可通过省级服务平台（http://117.73.255.69:9080/）打印全省统一制式的继续教育电子证书。</w:t>
      </w:r>
    </w:p>
    <w:p>
      <w:pPr>
        <w:numPr>
          <w:ilvl w:val="0"/>
          <w:numId w:val="0"/>
        </w:numPr>
        <w:ind w:firstLine="640" w:firstLineChars="200"/>
        <w:rPr>
          <w:rFonts w:hint="eastAsia" w:ascii="仿宋_GB2312" w:hAnsi="仿宋_GB2312" w:eastAsia="仿宋_GB2312" w:cs="仿宋_GB2312"/>
          <w:color w:val="000000" w:themeColor="text1"/>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专业技术人员继续教育学时申报、认定、审验工作实行分级管理，专业技术人员所在单位、主管部门、区市人力资源社会保障部门等要按职责分工对专业技术人</w:t>
      </w:r>
      <w:r>
        <w:rPr>
          <w:rFonts w:hint="eastAsia" w:ascii="仿宋_GB2312" w:hAnsi="仿宋_GB2312" w:eastAsia="仿宋_GB2312" w:cs="仿宋_GB2312"/>
          <w:color w:val="000000" w:themeColor="text1"/>
          <w:kern w:val="2"/>
          <w:sz w:val="32"/>
          <w:szCs w:val="32"/>
          <w:highlight w:val="none"/>
          <w:lang w:val="en-US" w:eastAsia="zh-CN" w:bidi="ar-SA"/>
        </w:rPr>
        <w:t>员参加继续教育情况进行审核审验，严格实</w:t>
      </w:r>
      <w:r>
        <w:rPr>
          <w:rFonts w:hint="eastAsia" w:ascii="仿宋_GB2312" w:hAnsi="仿宋_GB2312" w:eastAsia="仿宋_GB2312" w:cs="仿宋_GB2312"/>
          <w:color w:val="auto"/>
          <w:kern w:val="2"/>
          <w:sz w:val="32"/>
          <w:szCs w:val="32"/>
          <w:highlight w:val="none"/>
          <w:lang w:val="en-US" w:eastAsia="zh-CN" w:bidi="ar-SA"/>
        </w:rPr>
        <w:t>行“谁审核，谁负责”的管理责任制，一旦</w:t>
      </w:r>
      <w:r>
        <w:rPr>
          <w:rFonts w:hint="eastAsia" w:ascii="仿宋_GB2312" w:hAnsi="仿宋_GB2312" w:eastAsia="仿宋_GB2312" w:cs="仿宋_GB2312"/>
          <w:color w:val="auto"/>
          <w:sz w:val="32"/>
          <w:szCs w:val="32"/>
          <w:highlight w:val="none"/>
          <w:lang w:val="en-US" w:eastAsia="zh-CN"/>
        </w:rPr>
        <w:t>发现弄虚作假、不认真履行</w:t>
      </w:r>
      <w:r>
        <w:rPr>
          <w:rFonts w:hint="eastAsia" w:ascii="仿宋_GB2312" w:hAnsi="仿宋_GB2312" w:eastAsia="仿宋_GB2312" w:cs="仿宋_GB2312"/>
          <w:color w:val="000000" w:themeColor="text1"/>
          <w:sz w:val="32"/>
          <w:szCs w:val="32"/>
          <w:highlight w:val="none"/>
          <w:lang w:val="en-US" w:eastAsia="zh-CN"/>
        </w:rPr>
        <w:t>审核职责或违规审核的，将驳回该部门（单位）专业技术人员继续教育学时申报，责令限期整改，</w:t>
      </w:r>
      <w:r>
        <w:rPr>
          <w:rFonts w:hint="eastAsia" w:ascii="仿宋_GB2312" w:hAnsi="仿宋_GB2312" w:eastAsia="仿宋_GB2312" w:cs="仿宋_GB2312"/>
          <w:color w:val="000000" w:themeColor="text1"/>
          <w:kern w:val="2"/>
          <w:sz w:val="32"/>
          <w:szCs w:val="32"/>
          <w:highlight w:val="none"/>
          <w:lang w:val="en-US" w:eastAsia="zh-CN" w:bidi="ar-SA"/>
        </w:rPr>
        <w:t>并依法依规追究有关人员的责任。</w:t>
      </w:r>
    </w:p>
    <w:p>
      <w:pPr>
        <w:numPr>
          <w:ilvl w:val="0"/>
          <w:numId w:val="1"/>
        </w:numPr>
        <w:ind w:firstLine="645"/>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继续教育基地培训项目备案管理</w:t>
      </w:r>
    </w:p>
    <w:p>
      <w:pPr>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为提高继续教育的针对性、实用性，</w:t>
      </w:r>
      <w:r>
        <w:rPr>
          <w:rFonts w:hint="eastAsia" w:ascii="仿宋_GB2312" w:hAnsi="仿宋_GB2312" w:eastAsia="仿宋_GB2312" w:cs="仿宋_GB2312"/>
          <w:kern w:val="0"/>
          <w:sz w:val="32"/>
          <w:szCs w:val="32"/>
          <w:lang w:val="en-US" w:eastAsia="zh-CN" w:bidi="ar-SA"/>
        </w:rPr>
        <w:t>各行业主管部门、各继续教育基地</w:t>
      </w:r>
      <w:r>
        <w:rPr>
          <w:rFonts w:hint="eastAsia" w:ascii="仿宋_GB2312" w:hAnsi="仿宋_GB2312" w:eastAsia="仿宋_GB2312" w:cs="仿宋_GB2312"/>
          <w:sz w:val="32"/>
          <w:szCs w:val="32"/>
          <w:lang w:eastAsia="zh-CN"/>
        </w:rPr>
        <w:t>要制定年度继续教育培训计划，加强培训规范管理。</w:t>
      </w:r>
      <w:r>
        <w:rPr>
          <w:rFonts w:hint="eastAsia" w:ascii="仿宋_GB2312" w:hAnsi="仿宋_GB2312" w:eastAsia="仿宋_GB2312" w:cs="仿宋_GB2312"/>
          <w:sz w:val="32"/>
          <w:szCs w:val="32"/>
          <w:lang w:val="en-US" w:eastAsia="zh-CN"/>
        </w:rPr>
        <w:t>各继续教育基地要充分发挥师资、场地、专业设置、教学管理等培训优势，开展各具特色的专项能力提升培训，</w:t>
      </w:r>
      <w:r>
        <w:rPr>
          <w:rFonts w:hint="eastAsia" w:ascii="仿宋_GB2312" w:hAnsi="仿宋_GB2312" w:eastAsia="仿宋_GB2312" w:cs="仿宋_GB2312"/>
          <w:sz w:val="32"/>
          <w:szCs w:val="32"/>
          <w:lang w:eastAsia="zh-CN"/>
        </w:rPr>
        <w:t>年度培训工作计划经管理单位审核同意后请于</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15日</w:t>
      </w:r>
      <w:r>
        <w:rPr>
          <w:rFonts w:hint="eastAsia" w:ascii="仿宋_GB2312" w:hAnsi="仿宋_GB2312" w:eastAsia="仿宋_GB2312" w:cs="仿宋_GB2312"/>
          <w:sz w:val="32"/>
          <w:szCs w:val="32"/>
          <w:lang w:eastAsia="zh-CN"/>
        </w:rPr>
        <w:t>前报送我局专业技术人员管理科。举办专业技术人员继续教育培训项目时，应于</w:t>
      </w:r>
      <w:r>
        <w:rPr>
          <w:rFonts w:hint="eastAsia" w:ascii="仿宋_GB2312" w:hAnsi="仿宋_GB2312" w:eastAsia="仿宋_GB2312" w:cs="仿宋_GB2312"/>
          <w:kern w:val="0"/>
          <w:sz w:val="32"/>
          <w:szCs w:val="32"/>
          <w:lang w:val="en-US" w:eastAsia="zh-CN" w:bidi="ar-SA"/>
        </w:rPr>
        <w:t>培训项目开班5个工作日前，通过“威海市专业技术人员继续教</w:t>
      </w:r>
      <w:r>
        <w:rPr>
          <w:rFonts w:hint="eastAsia" w:ascii="仿宋_GB2312" w:hAnsi="仿宋_GB2312" w:eastAsia="仿宋_GB2312" w:cs="仿宋_GB2312"/>
          <w:color w:val="auto"/>
          <w:sz w:val="32"/>
          <w:szCs w:val="32"/>
          <w:lang w:val="en-US" w:eastAsia="zh-CN"/>
        </w:rPr>
        <w:t>育服务平台”进行网上电子备案。</w:t>
      </w:r>
      <w:r>
        <w:rPr>
          <w:rFonts w:hint="eastAsia" w:ascii="仿宋_GB2312" w:hAnsi="仿宋_GB2312" w:eastAsia="仿宋_GB2312" w:cs="仿宋_GB2312"/>
          <w:color w:val="auto"/>
          <w:sz w:val="32"/>
          <w:szCs w:val="32"/>
        </w:rPr>
        <w:t>根据全市重点发展战略需求，在年度培训计划外组织的继续教育活动可实行“一事一报”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kern w:val="0"/>
          <w:sz w:val="32"/>
          <w:szCs w:val="32"/>
          <w:lang w:val="en-US" w:eastAsia="zh-CN" w:bidi="ar-SA"/>
        </w:rPr>
        <w:t>各继续教育基地的</w:t>
      </w:r>
      <w:r>
        <w:rPr>
          <w:rFonts w:hint="eastAsia" w:ascii="仿宋_GB2312" w:hAnsi="仿宋_GB2312" w:eastAsia="仿宋_GB2312" w:cs="仿宋_GB2312"/>
          <w:sz w:val="32"/>
          <w:szCs w:val="32"/>
        </w:rPr>
        <w:t>管理单位</w:t>
      </w:r>
      <w:r>
        <w:rPr>
          <w:rFonts w:hint="eastAsia" w:ascii="仿宋_GB2312" w:hAnsi="仿宋_GB2312" w:eastAsia="仿宋_GB2312" w:cs="仿宋_GB2312"/>
          <w:sz w:val="32"/>
          <w:szCs w:val="32"/>
          <w:lang w:eastAsia="zh-CN"/>
        </w:rPr>
        <w:t>要严格按照</w:t>
      </w:r>
      <w:r>
        <w:rPr>
          <w:rFonts w:hint="eastAsia" w:ascii="仿宋_GB2312" w:hAnsi="仿宋_GB2312" w:eastAsia="仿宋_GB2312" w:cs="仿宋_GB2312"/>
          <w:kern w:val="0"/>
          <w:sz w:val="32"/>
          <w:szCs w:val="32"/>
          <w:lang w:val="en-US" w:eastAsia="zh-CN" w:bidi="ar-SA"/>
        </w:rPr>
        <w:t>《威海市专业技术人员继续教育基地管理办法》（威人社发〔2019〕44号）规定，认真督促指导基地按期组织实施年度培</w:t>
      </w:r>
      <w:r>
        <w:rPr>
          <w:rFonts w:hint="eastAsia" w:ascii="仿宋_GB2312" w:hAnsi="仿宋_GB2312" w:eastAsia="仿宋_GB2312" w:cs="仿宋_GB2312"/>
          <w:color w:val="auto"/>
          <w:kern w:val="0"/>
          <w:sz w:val="32"/>
          <w:szCs w:val="32"/>
          <w:lang w:val="en-US" w:eastAsia="zh-CN" w:bidi="ar-SA"/>
        </w:rPr>
        <w:t>训计划</w:t>
      </w:r>
      <w:r>
        <w:rPr>
          <w:rFonts w:hint="eastAsia" w:ascii="仿宋_GB2312" w:hAnsi="仿宋_GB2312" w:eastAsia="仿宋_GB2312" w:cs="仿宋_GB2312"/>
          <w:color w:val="auto"/>
          <w:sz w:val="32"/>
          <w:szCs w:val="32"/>
          <w:lang w:val="en-US" w:eastAsia="zh-CN"/>
        </w:rPr>
        <w:t>，确保培训质量和效果</w:t>
      </w:r>
      <w:r>
        <w:rPr>
          <w:rFonts w:hint="eastAsia" w:ascii="仿宋_GB2312" w:hAnsi="仿宋_GB2312" w:eastAsia="仿宋_GB2312" w:cs="仿宋_GB2312"/>
          <w:color w:val="auto"/>
          <w:sz w:val="32"/>
          <w:szCs w:val="32"/>
        </w:rPr>
        <w:t>。</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四、有关要求</w:t>
      </w:r>
    </w:p>
    <w:p>
      <w:pPr>
        <w:keepNext w:val="0"/>
        <w:keepLines w:val="0"/>
        <w:widowControl/>
        <w:suppressLineNumbers w:val="0"/>
        <w:ind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（一）高度重视，充分认识继续教育培训的重要意义。</w:t>
      </w:r>
      <w:r>
        <w:rPr>
          <w:rFonts w:hint="eastAsia" w:ascii="仿宋_GB2312" w:hAnsi="仿宋_GB2312" w:eastAsia="仿宋_GB2312" w:cs="仿宋_GB2312"/>
          <w:b w:val="0"/>
          <w:bCs w:val="0"/>
          <w:kern w:val="2"/>
          <w:sz w:val="32"/>
          <w:szCs w:val="32"/>
          <w:lang w:val="en-US" w:eastAsia="zh-CN" w:bidi="ar-SA"/>
        </w:rPr>
        <w:t xml:space="preserve">继续教育工作是贯彻落实国家重点战略和我省“八大战略”“十大创新”的重要举措,是提升专业技术人员能力素质的重要抓手，与本地、本部门专业技术人才培养和创新发展息息相关。各部门和继续教育基地要根据国家和省专业技术人员继续教育有关规定,分类分领域加快推进继续教育,进一步完善多层次、多类别、多形式的培养培训格局,加强对基层一线专业技术人员的培训力度,打造有素质、有能力、有水平的专业技术人才队伍。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（二）精心组织，切实提高继续教育培训覆盖面。</w:t>
      </w:r>
      <w:r>
        <w:rPr>
          <w:rFonts w:hint="eastAsia" w:ascii="仿宋_GB2312" w:hAnsi="仿宋_GB2312" w:eastAsia="仿宋_GB2312" w:cs="仿宋_GB2312"/>
          <w:sz w:val="32"/>
          <w:szCs w:val="32"/>
          <w:lang w:val="en-US" w:eastAsia="zh-CN"/>
        </w:rPr>
        <w:t>各级各部门要加强协调联系，鼓励发动专业技术人员广泛参加继续教育培训，营造“全员注册、人人参训”的良好氛围。各区市人社部门要充分发挥职能作用，扎实做好本地区专业技术人员继续教育统筹规划、服务指导、示范培训、监督检查和项目审核备案等工作；各行业主管部门要按照职责分工，组织实施好本行业系统继续教育工作，对继续教育作为职业资格登记或者注册的必要条件的，行业主管部门要按有关法律法规落实；各用人单位要把专业技术人员参加继续教育情况作为专业技术人员考核、聘任和申报评审职称的重要条件，支持专业技术人员参加继续教育学习，提供必要的学习条件和时间，并依法提取职工教育培训经费，用于继续教育和各类培训。</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（三）强化督导，确保继续教育培训实效。</w:t>
      </w:r>
      <w:r>
        <w:rPr>
          <w:rFonts w:hint="eastAsia" w:ascii="仿宋_GB2312" w:hAnsi="仿宋_GB2312" w:eastAsia="仿宋_GB2312" w:cs="仿宋_GB2312"/>
          <w:sz w:val="32"/>
          <w:szCs w:val="32"/>
          <w:lang w:val="en-US" w:eastAsia="zh-CN"/>
        </w:rPr>
        <w:t>各级各部门要指定专人负责，充分利用好“威海市专业技术人员继续教育服务平台”，按时规范完成专业技术人员的注册登记、年度学习、学时审核、信息维护等工作。人力资源社会保障行政部门将根据专业技术人员继续教育情况“双随机、一公开”监管要求，对用人单位、继续教育基地、高级研修项目承办单位等开展继续教育的情况进行随机检查。</w:t>
      </w: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政策解答咨询：市人社局专业技术人员管理科  </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电话：5190962</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邮箱：whrsjzjk@wh.shandong.cn</w:t>
      </w:r>
    </w:p>
    <w:p>
      <w:pPr>
        <w:numPr>
          <w:ilvl w:val="0"/>
          <w:numId w:val="0"/>
        </w:numPr>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平台使用咨询：400-806-8255</w:t>
      </w: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附件：省市级继续教育基地2022年度培训计划</w:t>
      </w: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威海市人力资源和社会保障局</w:t>
      </w:r>
    </w:p>
    <w:p>
      <w:pPr>
        <w:numPr>
          <w:ilvl w:val="0"/>
          <w:numId w:val="0"/>
        </w:numPr>
        <w:ind w:firstLine="640" w:firstLineChars="200"/>
        <w:jc w:val="center"/>
        <w:rPr>
          <w:rFonts w:hint="eastAsia" w:ascii="楷体_GB2312" w:hAnsi="楷体_GB2312" w:eastAsia="楷体_GB2312" w:cs="楷体_GB2312"/>
        </w:rPr>
      </w:pPr>
      <w:r>
        <w:rPr>
          <w:rFonts w:hint="eastAsia" w:ascii="仿宋_GB2312" w:hAnsi="仿宋_GB2312" w:eastAsia="仿宋_GB2312" w:cs="仿宋_GB2312"/>
          <w:sz w:val="32"/>
          <w:szCs w:val="32"/>
          <w:lang w:val="en-US" w:eastAsia="zh-CN"/>
        </w:rPr>
        <w:t xml:space="preserve">                    2022年4月24日</w:t>
      </w:r>
    </w:p>
    <w:p>
      <w:pPr>
        <w:rPr>
          <w:rFonts w:hint="eastAsia" w:ascii="楷体_GB2312" w:hAnsi="楷体_GB2312" w:eastAsia="楷体_GB2312" w:cs="楷体_GB2312"/>
        </w:rPr>
        <w:sectPr>
          <w:pgSz w:w="11906" w:h="16838"/>
          <w:pgMar w:top="2098" w:right="1474" w:bottom="1417" w:left="1587" w:header="851" w:footer="1247" w:gutter="0"/>
          <w:cols w:space="0" w:num="1"/>
          <w:rtlGutter w:val="0"/>
          <w:docGrid w:type="lines" w:linePitch="579" w:charSpace="0"/>
        </w:sectPr>
      </w:pPr>
      <w:r>
        <w:rPr>
          <w:rFonts w:hint="eastAsia" w:ascii="楷体_GB2312" w:hAnsi="楷体_GB2312" w:eastAsia="楷体_GB2312" w:cs="楷体_GB2312"/>
        </w:rPr>
        <w:br w:type="page"/>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附件</w:t>
      </w:r>
    </w:p>
    <w:p>
      <w:pPr>
        <w:autoSpaceDE w:val="0"/>
        <w:autoSpaceDN w:val="0"/>
        <w:adjustRightInd w:val="0"/>
        <w:spacing w:line="560" w:lineRule="exact"/>
        <w:jc w:val="center"/>
        <w:rPr>
          <w:rFonts w:hint="eastAsia" w:ascii="仿宋_GB2312" w:hAnsi="仿宋_GB2312" w:eastAsia="仿宋_GB2312" w:cs="仿宋_GB2312"/>
          <w:kern w:val="0"/>
          <w:sz w:val="32"/>
          <w:szCs w:val="32"/>
          <w:lang w:val="en-US" w:eastAsia="zh-CN" w:bidi="ar-SA"/>
        </w:rPr>
      </w:pPr>
      <w:r>
        <w:rPr>
          <w:rFonts w:hint="eastAsia" w:ascii="黑体" w:hAnsi="黑体" w:eastAsia="黑体" w:cs="黑体"/>
          <w:kern w:val="0"/>
          <w:sz w:val="44"/>
          <w:szCs w:val="44"/>
          <w:lang w:val="en-US" w:eastAsia="zh-CN" w:bidi="ar-SA"/>
        </w:rPr>
        <w:t>省市级继续教育基地2022年度培训计划</w:t>
      </w:r>
    </w:p>
    <w:tbl>
      <w:tblPr>
        <w:tblStyle w:val="8"/>
        <w:tblW w:w="13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20"/>
        <w:gridCol w:w="1351"/>
        <w:gridCol w:w="1351"/>
        <w:gridCol w:w="2354"/>
        <w:gridCol w:w="3584"/>
        <w:gridCol w:w="655"/>
        <w:gridCol w:w="122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autoSpaceDE w:val="0"/>
              <w:autoSpaceDN w:val="0"/>
              <w:adjustRightInd w:val="0"/>
              <w:spacing w:line="560" w:lineRule="exact"/>
              <w:jc w:val="center"/>
              <w:rPr>
                <w:rFonts w:hint="default" w:ascii="宋体" w:hAnsi="宋体" w:eastAsia="宋体" w:cs="宋体"/>
                <w:b/>
                <w:bCs w:val="0"/>
                <w:kern w:val="0"/>
                <w:sz w:val="21"/>
                <w:szCs w:val="21"/>
                <w:vertAlign w:val="baseline"/>
                <w:lang w:val="en-US" w:eastAsia="zh-CN"/>
              </w:rPr>
            </w:pPr>
            <w:r>
              <w:rPr>
                <w:rFonts w:hint="eastAsia" w:ascii="宋体" w:hAnsi="宋体" w:eastAsia="宋体" w:cs="宋体"/>
                <w:b/>
                <w:bCs w:val="0"/>
                <w:kern w:val="0"/>
                <w:sz w:val="21"/>
                <w:szCs w:val="21"/>
                <w:vertAlign w:val="baseline"/>
                <w:lang w:val="en-US" w:eastAsia="zh-CN"/>
              </w:rPr>
              <w:t>序号</w:t>
            </w:r>
          </w:p>
        </w:tc>
        <w:tc>
          <w:tcPr>
            <w:tcW w:w="1020" w:type="dxa"/>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b/>
                <w:bCs w:val="0"/>
                <w:kern w:val="0"/>
                <w:sz w:val="21"/>
                <w:szCs w:val="21"/>
                <w:vertAlign w:val="baseline"/>
                <w:lang w:val="en-US" w:eastAsia="zh-CN"/>
              </w:rPr>
            </w:pPr>
            <w:r>
              <w:rPr>
                <w:rFonts w:hint="eastAsia" w:ascii="宋体" w:hAnsi="宋体" w:eastAsia="宋体" w:cs="宋体"/>
                <w:b/>
                <w:bCs w:val="0"/>
                <w:kern w:val="0"/>
                <w:sz w:val="21"/>
                <w:szCs w:val="21"/>
                <w:vertAlign w:val="baseline"/>
                <w:lang w:val="en-US" w:eastAsia="zh-CN"/>
              </w:rPr>
              <w:t>基地</w:t>
            </w: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b/>
                <w:bCs w:val="0"/>
                <w:kern w:val="0"/>
                <w:sz w:val="21"/>
                <w:szCs w:val="21"/>
                <w:vertAlign w:val="baseline"/>
                <w:lang w:val="en-US" w:eastAsia="zh-CN"/>
              </w:rPr>
            </w:pPr>
            <w:r>
              <w:rPr>
                <w:rFonts w:hint="eastAsia" w:ascii="宋体" w:hAnsi="宋体" w:eastAsia="宋体" w:cs="宋体"/>
                <w:b/>
                <w:bCs w:val="0"/>
                <w:kern w:val="0"/>
                <w:sz w:val="21"/>
                <w:szCs w:val="21"/>
                <w:vertAlign w:val="baseline"/>
                <w:lang w:val="en-US" w:eastAsia="zh-CN"/>
              </w:rPr>
              <w:t>名称</w:t>
            </w:r>
          </w:p>
        </w:tc>
        <w:tc>
          <w:tcPr>
            <w:tcW w:w="1351" w:type="dxa"/>
            <w:vAlign w:val="center"/>
          </w:tcPr>
          <w:p>
            <w:pPr>
              <w:autoSpaceDE w:val="0"/>
              <w:autoSpaceDN w:val="0"/>
              <w:adjustRightInd w:val="0"/>
              <w:spacing w:line="560" w:lineRule="exact"/>
              <w:jc w:val="center"/>
              <w:rPr>
                <w:rFonts w:hint="default" w:ascii="宋体" w:hAnsi="宋体" w:eastAsia="宋体" w:cs="宋体"/>
                <w:b/>
                <w:bCs w:val="0"/>
                <w:kern w:val="0"/>
                <w:sz w:val="21"/>
                <w:szCs w:val="21"/>
                <w:vertAlign w:val="baseline"/>
                <w:lang w:val="en-US" w:eastAsia="zh-CN"/>
              </w:rPr>
            </w:pPr>
            <w:r>
              <w:rPr>
                <w:rFonts w:hint="eastAsia" w:ascii="宋体" w:hAnsi="宋体" w:eastAsia="宋体" w:cs="宋体"/>
                <w:b/>
                <w:bCs w:val="0"/>
                <w:kern w:val="0"/>
                <w:sz w:val="21"/>
                <w:szCs w:val="21"/>
                <w:vertAlign w:val="baseline"/>
                <w:lang w:val="en-US" w:eastAsia="zh-CN"/>
              </w:rPr>
              <w:t>培训班名称</w:t>
            </w:r>
          </w:p>
        </w:tc>
        <w:tc>
          <w:tcPr>
            <w:tcW w:w="1351" w:type="dxa"/>
            <w:vAlign w:val="center"/>
          </w:tcPr>
          <w:p>
            <w:pPr>
              <w:autoSpaceDE w:val="0"/>
              <w:autoSpaceDN w:val="0"/>
              <w:adjustRightInd w:val="0"/>
              <w:spacing w:line="560" w:lineRule="exact"/>
              <w:jc w:val="center"/>
              <w:rPr>
                <w:rFonts w:hint="default" w:ascii="宋体" w:hAnsi="宋体" w:eastAsia="宋体" w:cs="宋体"/>
                <w:b/>
                <w:bCs w:val="0"/>
                <w:kern w:val="0"/>
                <w:sz w:val="21"/>
                <w:szCs w:val="21"/>
                <w:vertAlign w:val="baseline"/>
                <w:lang w:val="en-US" w:eastAsia="zh-CN"/>
              </w:rPr>
            </w:pPr>
            <w:r>
              <w:rPr>
                <w:rFonts w:hint="eastAsia" w:ascii="宋体" w:hAnsi="宋体" w:eastAsia="宋体" w:cs="宋体"/>
                <w:b/>
                <w:bCs w:val="0"/>
                <w:kern w:val="0"/>
                <w:sz w:val="21"/>
                <w:szCs w:val="21"/>
                <w:vertAlign w:val="baseline"/>
                <w:lang w:val="en-US" w:eastAsia="zh-CN"/>
              </w:rPr>
              <w:t>培训时间</w:t>
            </w:r>
          </w:p>
        </w:tc>
        <w:tc>
          <w:tcPr>
            <w:tcW w:w="2354" w:type="dxa"/>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b/>
                <w:bCs w:val="0"/>
                <w:kern w:val="0"/>
                <w:sz w:val="21"/>
                <w:szCs w:val="21"/>
                <w:vertAlign w:val="baseline"/>
                <w:lang w:val="en-US" w:eastAsia="zh-CN"/>
              </w:rPr>
            </w:pPr>
            <w:r>
              <w:rPr>
                <w:rFonts w:hint="eastAsia" w:ascii="宋体" w:hAnsi="宋体" w:eastAsia="宋体" w:cs="宋体"/>
                <w:b/>
                <w:bCs w:val="0"/>
                <w:kern w:val="0"/>
                <w:sz w:val="21"/>
                <w:szCs w:val="21"/>
                <w:vertAlign w:val="baseline"/>
                <w:lang w:val="en-US" w:eastAsia="zh-CN"/>
              </w:rPr>
              <w:t>培训内容</w:t>
            </w:r>
          </w:p>
        </w:tc>
        <w:tc>
          <w:tcPr>
            <w:tcW w:w="3584" w:type="dxa"/>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b/>
                <w:bCs w:val="0"/>
                <w:kern w:val="0"/>
                <w:sz w:val="21"/>
                <w:szCs w:val="21"/>
                <w:vertAlign w:val="baseline"/>
                <w:lang w:val="en-US" w:eastAsia="zh-CN" w:bidi="ar-SA"/>
              </w:rPr>
            </w:pPr>
            <w:r>
              <w:rPr>
                <w:rFonts w:hint="eastAsia" w:ascii="宋体" w:hAnsi="宋体" w:eastAsia="宋体" w:cs="宋体"/>
                <w:b/>
                <w:bCs w:val="0"/>
                <w:kern w:val="0"/>
                <w:sz w:val="21"/>
                <w:szCs w:val="21"/>
                <w:vertAlign w:val="baseline"/>
                <w:lang w:val="en-US" w:eastAsia="zh-CN"/>
              </w:rPr>
              <w:t>培训日程安排</w:t>
            </w:r>
          </w:p>
        </w:tc>
        <w:tc>
          <w:tcPr>
            <w:tcW w:w="655" w:type="dxa"/>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b/>
                <w:bCs w:val="0"/>
                <w:kern w:val="0"/>
                <w:sz w:val="21"/>
                <w:szCs w:val="21"/>
                <w:vertAlign w:val="baseline"/>
                <w:lang w:val="en-US" w:eastAsia="zh-CN" w:bidi="ar-SA"/>
              </w:rPr>
            </w:pPr>
            <w:r>
              <w:rPr>
                <w:rFonts w:hint="eastAsia" w:ascii="宋体" w:hAnsi="宋体" w:eastAsia="宋体" w:cs="宋体"/>
                <w:b/>
                <w:bCs w:val="0"/>
                <w:kern w:val="0"/>
                <w:sz w:val="21"/>
                <w:szCs w:val="21"/>
                <w:vertAlign w:val="baseline"/>
                <w:lang w:val="en-US" w:eastAsia="zh-CN"/>
              </w:rPr>
              <w:t>培训方式</w:t>
            </w:r>
          </w:p>
        </w:tc>
        <w:tc>
          <w:tcPr>
            <w:tcW w:w="1227" w:type="dxa"/>
            <w:vAlign w:val="center"/>
          </w:tcPr>
          <w:p>
            <w:pPr>
              <w:autoSpaceDE w:val="0"/>
              <w:autoSpaceDN w:val="0"/>
              <w:adjustRightInd w:val="0"/>
              <w:spacing w:line="560" w:lineRule="exact"/>
              <w:jc w:val="center"/>
              <w:rPr>
                <w:rFonts w:hint="default" w:ascii="宋体" w:hAnsi="宋体" w:eastAsia="宋体" w:cs="宋体"/>
                <w:b/>
                <w:bCs w:val="0"/>
                <w:kern w:val="0"/>
                <w:sz w:val="21"/>
                <w:szCs w:val="21"/>
                <w:vertAlign w:val="baseline"/>
                <w:lang w:val="en-US" w:eastAsia="zh-CN" w:bidi="ar-SA"/>
              </w:rPr>
            </w:pPr>
            <w:r>
              <w:rPr>
                <w:rFonts w:hint="eastAsia" w:ascii="宋体" w:hAnsi="宋体" w:eastAsia="宋体" w:cs="宋体"/>
                <w:b/>
                <w:bCs w:val="0"/>
                <w:kern w:val="0"/>
                <w:sz w:val="21"/>
                <w:szCs w:val="21"/>
                <w:vertAlign w:val="baseline"/>
                <w:lang w:val="en-US" w:eastAsia="zh-CN"/>
              </w:rPr>
              <w:t>培训师资</w:t>
            </w:r>
          </w:p>
        </w:tc>
        <w:tc>
          <w:tcPr>
            <w:tcW w:w="1213" w:type="dxa"/>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b/>
                <w:bCs w:val="0"/>
                <w:kern w:val="0"/>
                <w:sz w:val="21"/>
                <w:szCs w:val="21"/>
                <w:vertAlign w:val="baseline"/>
                <w:lang w:val="en-US" w:eastAsia="zh-CN"/>
              </w:rPr>
            </w:pPr>
            <w:r>
              <w:rPr>
                <w:rFonts w:hint="eastAsia" w:ascii="宋体" w:hAnsi="宋体" w:eastAsia="宋体" w:cs="宋体"/>
                <w:b/>
                <w:bCs w:val="0"/>
                <w:kern w:val="0"/>
                <w:sz w:val="21"/>
                <w:szCs w:val="21"/>
                <w:vertAlign w:val="baseline"/>
                <w:lang w:val="en-US" w:eastAsia="zh-CN"/>
              </w:rPr>
              <w:t>项目负责人及联系方式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例子</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****培训中心</w:t>
            </w:r>
          </w:p>
        </w:tc>
        <w:tc>
          <w:tcPr>
            <w:tcW w:w="1351"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建设工程专业技术人员能力提升班</w:t>
            </w:r>
          </w:p>
        </w:tc>
        <w:tc>
          <w:tcPr>
            <w:tcW w:w="1351"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预计5月份，培训时长3天。</w:t>
            </w:r>
          </w:p>
        </w:tc>
        <w:tc>
          <w:tcPr>
            <w:tcW w:w="2354"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围绕****，在建筑施工、工程造价等方面，培训专业技术人员**能力</w:t>
            </w:r>
          </w:p>
        </w:tc>
        <w:tc>
          <w:tcPr>
            <w:tcW w:w="3584" w:type="dxa"/>
            <w:vAlign w:val="top"/>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第一天**</w:t>
            </w:r>
          </w:p>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第二天***</w:t>
            </w:r>
          </w:p>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bidi="ar-SA"/>
              </w:rPr>
            </w:pPr>
            <w:r>
              <w:rPr>
                <w:rFonts w:hint="eastAsia" w:ascii="宋体" w:hAnsi="宋体" w:eastAsia="宋体" w:cs="宋体"/>
                <w:bCs/>
                <w:kern w:val="0"/>
                <w:sz w:val="21"/>
                <w:szCs w:val="21"/>
                <w:vertAlign w:val="baseline"/>
                <w:lang w:val="en-US" w:eastAsia="zh-CN"/>
              </w:rPr>
              <w:t>第三天**</w:t>
            </w:r>
          </w:p>
        </w:tc>
        <w:tc>
          <w:tcPr>
            <w:tcW w:w="655" w:type="dxa"/>
            <w:vAlign w:val="top"/>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bidi="ar-SA"/>
              </w:rPr>
            </w:pPr>
            <w:r>
              <w:rPr>
                <w:rFonts w:hint="eastAsia" w:ascii="宋体" w:hAnsi="宋体" w:eastAsia="宋体" w:cs="宋体"/>
                <w:bCs/>
                <w:kern w:val="0"/>
                <w:sz w:val="21"/>
                <w:szCs w:val="21"/>
                <w:vertAlign w:val="baseline"/>
                <w:lang w:val="en-US" w:eastAsia="zh-CN"/>
              </w:rPr>
              <w:t>现场授课</w:t>
            </w:r>
          </w:p>
        </w:tc>
        <w:tc>
          <w:tcPr>
            <w:tcW w:w="1227" w:type="dxa"/>
            <w:vAlign w:val="top"/>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bidi="ar-SA"/>
              </w:rPr>
            </w:pPr>
            <w:r>
              <w:rPr>
                <w:rFonts w:hint="eastAsia" w:ascii="宋体" w:hAnsi="宋体" w:eastAsia="宋体" w:cs="宋体"/>
                <w:bCs/>
                <w:kern w:val="0"/>
                <w:sz w:val="21"/>
                <w:szCs w:val="21"/>
                <w:vertAlign w:val="baseline"/>
                <w:lang w:val="en-US" w:eastAsia="zh-CN"/>
              </w:rPr>
              <w:t>邀请****专家授课</w:t>
            </w:r>
          </w:p>
        </w:tc>
        <w:tc>
          <w:tcPr>
            <w:tcW w:w="1213"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李四</w:t>
            </w:r>
          </w:p>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020" w:type="dxa"/>
            <w:vMerge w:val="continue"/>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351"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经济专业技术人员能力提升班</w:t>
            </w:r>
          </w:p>
        </w:tc>
        <w:tc>
          <w:tcPr>
            <w:tcW w:w="1351"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预计8月份，培训时长2天。</w:t>
            </w:r>
          </w:p>
        </w:tc>
        <w:tc>
          <w:tcPr>
            <w:tcW w:w="2354"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w:t>
            </w:r>
          </w:p>
        </w:tc>
        <w:tc>
          <w:tcPr>
            <w:tcW w:w="3584"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第一天**</w:t>
            </w:r>
          </w:p>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第二天***</w:t>
            </w:r>
          </w:p>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rPr>
            </w:pPr>
          </w:p>
        </w:tc>
        <w:tc>
          <w:tcPr>
            <w:tcW w:w="655"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远程教育</w:t>
            </w:r>
          </w:p>
        </w:tc>
        <w:tc>
          <w:tcPr>
            <w:tcW w:w="1227"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山东大学**教授</w:t>
            </w:r>
          </w:p>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四川大学**</w:t>
            </w:r>
          </w:p>
        </w:tc>
        <w:tc>
          <w:tcPr>
            <w:tcW w:w="1213" w:type="dxa"/>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张三</w:t>
            </w:r>
          </w:p>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020" w:type="dxa"/>
            <w:vMerge w:val="continue"/>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351"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w:t>
            </w:r>
          </w:p>
        </w:tc>
        <w:tc>
          <w:tcPr>
            <w:tcW w:w="1351"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2354"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3584"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655"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227"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213"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autoSpaceDE w:val="0"/>
              <w:autoSpaceDN w:val="0"/>
              <w:adjustRightInd w:val="0"/>
              <w:spacing w:line="560" w:lineRule="exact"/>
              <w:jc w:val="center"/>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1</w:t>
            </w:r>
          </w:p>
        </w:tc>
        <w:tc>
          <w:tcPr>
            <w:tcW w:w="1020"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351"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351"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2354"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3584"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655"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227"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213"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autoSpaceDE w:val="0"/>
              <w:autoSpaceDN w:val="0"/>
              <w:adjustRightInd w:val="0"/>
              <w:spacing w:line="560" w:lineRule="exact"/>
              <w:jc w:val="center"/>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2</w:t>
            </w:r>
          </w:p>
        </w:tc>
        <w:tc>
          <w:tcPr>
            <w:tcW w:w="1020"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351"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351"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bookmarkStart w:id="0" w:name="_GoBack"/>
            <w:bookmarkEnd w:id="0"/>
          </w:p>
        </w:tc>
        <w:tc>
          <w:tcPr>
            <w:tcW w:w="2354"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3584"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655"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227"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213"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autoSpaceDE w:val="0"/>
              <w:autoSpaceDN w:val="0"/>
              <w:adjustRightInd w:val="0"/>
              <w:spacing w:line="560" w:lineRule="exact"/>
              <w:jc w:val="center"/>
              <w:rPr>
                <w:rFonts w:hint="default" w:ascii="宋体" w:hAnsi="宋体" w:eastAsia="宋体" w:cs="宋体"/>
                <w:bCs/>
                <w:kern w:val="0"/>
                <w:sz w:val="21"/>
                <w:szCs w:val="21"/>
                <w:vertAlign w:val="baseline"/>
                <w:lang w:val="en-US" w:eastAsia="zh-CN"/>
              </w:rPr>
            </w:pPr>
            <w:r>
              <w:rPr>
                <w:rFonts w:hint="eastAsia" w:ascii="宋体" w:hAnsi="宋体" w:eastAsia="宋体" w:cs="宋体"/>
                <w:bCs/>
                <w:kern w:val="0"/>
                <w:sz w:val="21"/>
                <w:szCs w:val="21"/>
                <w:vertAlign w:val="baseline"/>
                <w:lang w:val="en-US" w:eastAsia="zh-CN"/>
              </w:rPr>
              <w:t>3</w:t>
            </w:r>
          </w:p>
        </w:tc>
        <w:tc>
          <w:tcPr>
            <w:tcW w:w="1020"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351"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351"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2354"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3584"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655"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227"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c>
          <w:tcPr>
            <w:tcW w:w="1213" w:type="dxa"/>
          </w:tcPr>
          <w:p>
            <w:pPr>
              <w:autoSpaceDE w:val="0"/>
              <w:autoSpaceDN w:val="0"/>
              <w:adjustRightInd w:val="0"/>
              <w:spacing w:line="560" w:lineRule="exact"/>
              <w:jc w:val="both"/>
              <w:rPr>
                <w:rFonts w:hint="default" w:ascii="宋体" w:hAnsi="宋体" w:eastAsia="宋体" w:cs="宋体"/>
                <w:bCs/>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trPr>
        <w:tc>
          <w:tcPr>
            <w:tcW w:w="6756" w:type="dxa"/>
            <w:gridSpan w:val="5"/>
            <w:vAlign w:val="center"/>
          </w:tcPr>
          <w:p>
            <w:pPr>
              <w:autoSpaceDE w:val="0"/>
              <w:autoSpaceDN w:val="0"/>
              <w:adjustRightInd w:val="0"/>
              <w:spacing w:line="560" w:lineRule="exact"/>
              <w:jc w:val="center"/>
              <w:rPr>
                <w:rFonts w:hint="eastAsia" w:ascii="宋体" w:hAnsi="宋体" w:eastAsia="宋体" w:cs="宋体"/>
                <w:sz w:val="24"/>
                <w:szCs w:val="24"/>
              </w:rPr>
            </w:pPr>
            <w:r>
              <w:rPr>
                <w:rFonts w:hint="eastAsia" w:ascii="宋体" w:hAnsi="宋体" w:eastAsia="宋体" w:cs="宋体"/>
                <w:sz w:val="24"/>
                <w:szCs w:val="24"/>
              </w:rPr>
              <w:t>市级继续教育基地</w:t>
            </w:r>
          </w:p>
          <w:p>
            <w:pPr>
              <w:autoSpaceDE w:val="0"/>
              <w:autoSpaceDN w:val="0"/>
              <w:adjustRightInd w:val="0"/>
              <w:spacing w:line="560" w:lineRule="exact"/>
              <w:jc w:val="center"/>
              <w:rPr>
                <w:rFonts w:hint="default" w:ascii="仿宋_GB2312" w:hAnsi="仿宋_GB2312" w:eastAsia="仿宋_GB2312" w:cs="仿宋_GB2312"/>
                <w:sz w:val="32"/>
                <w:szCs w:val="32"/>
                <w:lang w:val="en-US" w:eastAsia="zh-CN"/>
              </w:rPr>
            </w:pPr>
            <w:r>
              <w:rPr>
                <w:rFonts w:hint="eastAsia" w:ascii="宋体" w:hAnsi="宋体" w:eastAsia="宋体" w:cs="宋体"/>
                <w:sz w:val="24"/>
                <w:szCs w:val="24"/>
                <w:lang w:val="en-US" w:eastAsia="zh-CN"/>
              </w:rPr>
              <w:t>盖  章</w:t>
            </w:r>
          </w:p>
        </w:tc>
        <w:tc>
          <w:tcPr>
            <w:tcW w:w="6679" w:type="dxa"/>
            <w:gridSpan w:val="4"/>
            <w:vAlign w:val="center"/>
          </w:tcPr>
          <w:p>
            <w:pPr>
              <w:autoSpaceDE w:val="0"/>
              <w:autoSpaceDN w:val="0"/>
              <w:adjustRightInd w:val="0"/>
              <w:spacing w:line="560" w:lineRule="exact"/>
              <w:jc w:val="center"/>
              <w:rPr>
                <w:rFonts w:hint="eastAsia" w:ascii="宋体" w:hAnsi="宋体" w:eastAsia="宋体" w:cs="宋体"/>
                <w:sz w:val="24"/>
                <w:szCs w:val="24"/>
              </w:rPr>
            </w:pPr>
            <w:r>
              <w:rPr>
                <w:rFonts w:hint="eastAsia" w:ascii="宋体" w:hAnsi="宋体" w:eastAsia="宋体" w:cs="宋体"/>
                <w:sz w:val="24"/>
                <w:szCs w:val="24"/>
              </w:rPr>
              <w:t>市级继续教育基地管理单位</w:t>
            </w:r>
          </w:p>
          <w:p>
            <w:pPr>
              <w:autoSpaceDE w:val="0"/>
              <w:autoSpaceDN w:val="0"/>
              <w:adjustRightInd w:val="0"/>
              <w:spacing w:line="560" w:lineRule="exact"/>
              <w:jc w:val="center"/>
              <w:rPr>
                <w:rFonts w:hint="default" w:ascii="宋体" w:hAnsi="宋体" w:eastAsia="宋体" w:cs="宋体"/>
                <w:bCs/>
                <w:kern w:val="0"/>
                <w:sz w:val="21"/>
                <w:szCs w:val="21"/>
                <w:vertAlign w:val="baseline"/>
                <w:lang w:val="en-US" w:eastAsia="zh-CN"/>
              </w:rPr>
            </w:pPr>
            <w:r>
              <w:rPr>
                <w:rFonts w:hint="eastAsia" w:ascii="宋体" w:hAnsi="宋体" w:eastAsia="宋体" w:cs="宋体"/>
                <w:sz w:val="24"/>
                <w:szCs w:val="24"/>
                <w:lang w:val="en-US" w:eastAsia="zh-CN"/>
              </w:rPr>
              <w:t>盖  章</w:t>
            </w:r>
          </w:p>
        </w:tc>
      </w:tr>
    </w:tbl>
    <w:p>
      <w:pPr>
        <w:rPr>
          <w:rFonts w:hint="default" w:ascii="楷体_GB2312" w:hAnsi="楷体_GB2312" w:eastAsia="楷体_GB2312" w:cs="楷体_GB2312"/>
          <w:lang w:val="en-US" w:eastAsia="zh-CN"/>
        </w:rPr>
      </w:pPr>
      <w:r>
        <w:rPr>
          <w:rFonts w:hint="eastAsia" w:ascii="楷体_GB2312" w:hAnsi="楷体_GB2312" w:eastAsia="楷体_GB2312" w:cs="楷体_GB2312"/>
          <w:lang w:val="en-US" w:eastAsia="zh-CN"/>
        </w:rPr>
        <w:t>注：本表填写的是</w:t>
      </w:r>
      <w:r>
        <w:rPr>
          <w:rFonts w:hint="eastAsia" w:ascii="楷体_GB2312" w:hAnsi="楷体_GB2312" w:eastAsia="楷体_GB2312" w:cs="楷体_GB2312"/>
          <w:b/>
          <w:bCs/>
          <w:lang w:val="en-US" w:eastAsia="zh-CN"/>
        </w:rPr>
        <w:t>专业技术人员继续教育培训</w:t>
      </w:r>
      <w:r>
        <w:rPr>
          <w:rFonts w:hint="eastAsia" w:ascii="楷体_GB2312" w:hAnsi="楷体_GB2312" w:eastAsia="楷体_GB2312" w:cs="楷体_GB2312"/>
          <w:lang w:val="en-US" w:eastAsia="zh-CN"/>
        </w:rPr>
        <w:t>，其他类别的培训无须填报。</w:t>
      </w:r>
    </w:p>
    <w:sectPr>
      <w:pgSz w:w="16838" w:h="11906" w:orient="landscape"/>
      <w:pgMar w:top="1587" w:right="2098" w:bottom="1474" w:left="1984" w:header="851" w:footer="1247"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5F8C558A-FE8E-4982-BD41-644599A9F8F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B00794C-86BD-4F21-AADC-EC44FDB3036A}"/>
  </w:font>
  <w:font w:name="方正小标宋简体">
    <w:panose1 w:val="03000509000000000000"/>
    <w:charset w:val="86"/>
    <w:family w:val="script"/>
    <w:pitch w:val="default"/>
    <w:sig w:usb0="00000001" w:usb1="080E0000" w:usb2="00000000" w:usb3="00000000" w:csb0="00040000" w:csb1="00000000"/>
    <w:embedRegular r:id="rId3" w:fontKey="{036561B0-47FF-402A-8C7E-05EE1E677869}"/>
  </w:font>
  <w:font w:name="仿宋_GB2312">
    <w:panose1 w:val="02010609030101010101"/>
    <w:charset w:val="86"/>
    <w:family w:val="modern"/>
    <w:pitch w:val="default"/>
    <w:sig w:usb0="00000001" w:usb1="080E0000" w:usb2="00000000" w:usb3="00000000" w:csb0="00040000" w:csb1="00000000"/>
    <w:embedRegular r:id="rId4" w:fontKey="{70C707BD-DF55-4FB8-B331-9C02C3F8A57C}"/>
  </w:font>
  <w:font w:name="楷体_GB2312">
    <w:panose1 w:val="02010609030101010101"/>
    <w:charset w:val="86"/>
    <w:family w:val="auto"/>
    <w:pitch w:val="default"/>
    <w:sig w:usb0="00000001" w:usb1="080E0000" w:usb2="00000000" w:usb3="00000000" w:csb0="00040000" w:csb1="00000000"/>
    <w:embedRegular r:id="rId5" w:fontKey="{6FB10B78-E50C-44A1-9685-AFBFC0407B9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F185E1"/>
    <w:multiLevelType w:val="singleLevel"/>
    <w:tmpl w:val="7BF185E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4D0D"/>
    <w:rsid w:val="00292FF4"/>
    <w:rsid w:val="00440840"/>
    <w:rsid w:val="004B1741"/>
    <w:rsid w:val="006C521C"/>
    <w:rsid w:val="00712D23"/>
    <w:rsid w:val="00774D0D"/>
    <w:rsid w:val="00796FC8"/>
    <w:rsid w:val="007C788D"/>
    <w:rsid w:val="009136AA"/>
    <w:rsid w:val="00920C43"/>
    <w:rsid w:val="00A6533C"/>
    <w:rsid w:val="00BB43DF"/>
    <w:rsid w:val="00E37833"/>
    <w:rsid w:val="011C75D2"/>
    <w:rsid w:val="03672D0A"/>
    <w:rsid w:val="041A63CE"/>
    <w:rsid w:val="0421127E"/>
    <w:rsid w:val="042E31D4"/>
    <w:rsid w:val="04EB0D32"/>
    <w:rsid w:val="05515D66"/>
    <w:rsid w:val="06286BFE"/>
    <w:rsid w:val="08F370B5"/>
    <w:rsid w:val="094A5E6D"/>
    <w:rsid w:val="09A50C29"/>
    <w:rsid w:val="09FE6612"/>
    <w:rsid w:val="0AE70D0F"/>
    <w:rsid w:val="0B2C50A4"/>
    <w:rsid w:val="0D9C38D3"/>
    <w:rsid w:val="0DB649EB"/>
    <w:rsid w:val="0EB31447"/>
    <w:rsid w:val="0F043F1E"/>
    <w:rsid w:val="0F281F95"/>
    <w:rsid w:val="10526C9B"/>
    <w:rsid w:val="10921C01"/>
    <w:rsid w:val="116A7CAD"/>
    <w:rsid w:val="119B6208"/>
    <w:rsid w:val="121146D6"/>
    <w:rsid w:val="13E33E63"/>
    <w:rsid w:val="141914DC"/>
    <w:rsid w:val="143559A7"/>
    <w:rsid w:val="156E60B2"/>
    <w:rsid w:val="16992D56"/>
    <w:rsid w:val="16C402F0"/>
    <w:rsid w:val="178C184F"/>
    <w:rsid w:val="186E55AF"/>
    <w:rsid w:val="18A33FE2"/>
    <w:rsid w:val="1A3B2044"/>
    <w:rsid w:val="1A572BFA"/>
    <w:rsid w:val="1AE154C5"/>
    <w:rsid w:val="1B816FB1"/>
    <w:rsid w:val="1B8A3385"/>
    <w:rsid w:val="1BF16BD0"/>
    <w:rsid w:val="1C3874F7"/>
    <w:rsid w:val="1C85110D"/>
    <w:rsid w:val="1CC21F23"/>
    <w:rsid w:val="1CC446C0"/>
    <w:rsid w:val="1D992A25"/>
    <w:rsid w:val="1E136FFC"/>
    <w:rsid w:val="1E931D9A"/>
    <w:rsid w:val="20017A07"/>
    <w:rsid w:val="20905823"/>
    <w:rsid w:val="225C19C8"/>
    <w:rsid w:val="237F577C"/>
    <w:rsid w:val="2462573E"/>
    <w:rsid w:val="262B3E6A"/>
    <w:rsid w:val="26E913E9"/>
    <w:rsid w:val="28C1471F"/>
    <w:rsid w:val="29256D24"/>
    <w:rsid w:val="29787D6F"/>
    <w:rsid w:val="2983131E"/>
    <w:rsid w:val="2A303DAB"/>
    <w:rsid w:val="2BCE3D45"/>
    <w:rsid w:val="2E1A768D"/>
    <w:rsid w:val="2E627F72"/>
    <w:rsid w:val="2E9E6212"/>
    <w:rsid w:val="2EFF1013"/>
    <w:rsid w:val="309E36CF"/>
    <w:rsid w:val="332D5EE6"/>
    <w:rsid w:val="378C3C6C"/>
    <w:rsid w:val="385639E4"/>
    <w:rsid w:val="38741096"/>
    <w:rsid w:val="389735B7"/>
    <w:rsid w:val="38A026B5"/>
    <w:rsid w:val="3928171B"/>
    <w:rsid w:val="3AF1372E"/>
    <w:rsid w:val="3BA6206E"/>
    <w:rsid w:val="3E8C06AF"/>
    <w:rsid w:val="3F731B6D"/>
    <w:rsid w:val="404C793D"/>
    <w:rsid w:val="40745DCE"/>
    <w:rsid w:val="40F52790"/>
    <w:rsid w:val="41CC6BAE"/>
    <w:rsid w:val="442B7CE8"/>
    <w:rsid w:val="44CA1CD6"/>
    <w:rsid w:val="45BA7D6E"/>
    <w:rsid w:val="46244CD0"/>
    <w:rsid w:val="46E02EE5"/>
    <w:rsid w:val="46EC0785"/>
    <w:rsid w:val="473574C9"/>
    <w:rsid w:val="47C2008F"/>
    <w:rsid w:val="48193914"/>
    <w:rsid w:val="48761B9A"/>
    <w:rsid w:val="48762B3C"/>
    <w:rsid w:val="489067B2"/>
    <w:rsid w:val="48E413A1"/>
    <w:rsid w:val="49FF1486"/>
    <w:rsid w:val="4C9B62C2"/>
    <w:rsid w:val="4D01304D"/>
    <w:rsid w:val="4F2E1684"/>
    <w:rsid w:val="4F752B3F"/>
    <w:rsid w:val="4FAA6EEB"/>
    <w:rsid w:val="4FCB2510"/>
    <w:rsid w:val="4FDA16F5"/>
    <w:rsid w:val="500F40D2"/>
    <w:rsid w:val="509D1953"/>
    <w:rsid w:val="515245C0"/>
    <w:rsid w:val="518D3B08"/>
    <w:rsid w:val="52FA5301"/>
    <w:rsid w:val="53250472"/>
    <w:rsid w:val="536961B7"/>
    <w:rsid w:val="54881C14"/>
    <w:rsid w:val="54CC6226"/>
    <w:rsid w:val="5574086B"/>
    <w:rsid w:val="56004D9F"/>
    <w:rsid w:val="56110D59"/>
    <w:rsid w:val="565D0C23"/>
    <w:rsid w:val="572E34B8"/>
    <w:rsid w:val="57363F0F"/>
    <w:rsid w:val="5BD54430"/>
    <w:rsid w:val="5BF441AE"/>
    <w:rsid w:val="5CE50C15"/>
    <w:rsid w:val="5D770467"/>
    <w:rsid w:val="5D7B4719"/>
    <w:rsid w:val="5DB57E41"/>
    <w:rsid w:val="5F6C0339"/>
    <w:rsid w:val="61CC3280"/>
    <w:rsid w:val="62906E6D"/>
    <w:rsid w:val="62CE3245"/>
    <w:rsid w:val="63496499"/>
    <w:rsid w:val="63A2212C"/>
    <w:rsid w:val="63DE27AE"/>
    <w:rsid w:val="64761A37"/>
    <w:rsid w:val="6503588A"/>
    <w:rsid w:val="666579AE"/>
    <w:rsid w:val="670715FE"/>
    <w:rsid w:val="6709422C"/>
    <w:rsid w:val="67790849"/>
    <w:rsid w:val="68E765BD"/>
    <w:rsid w:val="68FE4BE4"/>
    <w:rsid w:val="69220EB9"/>
    <w:rsid w:val="6A990D8F"/>
    <w:rsid w:val="6AC010B8"/>
    <w:rsid w:val="6D1E1829"/>
    <w:rsid w:val="6DB039B1"/>
    <w:rsid w:val="6DD7035E"/>
    <w:rsid w:val="6E9E5141"/>
    <w:rsid w:val="6FBF699A"/>
    <w:rsid w:val="71177769"/>
    <w:rsid w:val="729E67D3"/>
    <w:rsid w:val="7494110F"/>
    <w:rsid w:val="779B2EB5"/>
    <w:rsid w:val="77E2461E"/>
    <w:rsid w:val="7824219B"/>
    <w:rsid w:val="78B74DFA"/>
    <w:rsid w:val="78E51C86"/>
    <w:rsid w:val="799E3DBA"/>
    <w:rsid w:val="7C417675"/>
    <w:rsid w:val="7C9F5711"/>
    <w:rsid w:val="7D440FEC"/>
    <w:rsid w:val="7E7A58AB"/>
    <w:rsid w:val="7E9922C5"/>
    <w:rsid w:val="7EBA6AAC"/>
    <w:rsid w:val="7EC318B9"/>
    <w:rsid w:val="7F97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0"/>
    <w:semiHidden/>
    <w:unhideWhenUsed/>
    <w:qFormat/>
    <w:uiPriority w:val="99"/>
    <w:pPr>
      <w:tabs>
        <w:tab w:val="center" w:pos="4153"/>
        <w:tab w:val="right" w:pos="8306"/>
      </w:tabs>
      <w:snapToGrid w:val="0"/>
      <w:jc w:val="left"/>
    </w:pPr>
    <w:rPr>
      <w:sz w:val="18"/>
      <w:szCs w:val="18"/>
    </w:rPr>
  </w:style>
  <w:style w:type="paragraph" w:styleId="5">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FollowedHyperlink"/>
    <w:basedOn w:val="9"/>
    <w:semiHidden/>
    <w:unhideWhenUsed/>
    <w:qFormat/>
    <w:uiPriority w:val="99"/>
    <w:rPr>
      <w:color w:val="800080"/>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rPr>
      <w:sz w:val="0"/>
      <w:szCs w:val="0"/>
    </w:rPr>
  </w:style>
  <w:style w:type="character" w:styleId="16">
    <w:name w:val="Hyperlink"/>
    <w:basedOn w:val="9"/>
    <w:semiHidden/>
    <w:unhideWhenUsed/>
    <w:qFormat/>
    <w:uiPriority w:val="99"/>
    <w:rPr>
      <w:color w:val="0000FF"/>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Char"/>
    <w:basedOn w:val="9"/>
    <w:link w:val="5"/>
    <w:semiHidden/>
    <w:qFormat/>
    <w:uiPriority w:val="99"/>
    <w:rPr>
      <w:sz w:val="18"/>
      <w:szCs w:val="18"/>
    </w:rPr>
  </w:style>
  <w:style w:type="character" w:customStyle="1" w:styleId="20">
    <w:name w:val="页脚 Char"/>
    <w:basedOn w:val="9"/>
    <w:link w:val="4"/>
    <w:semiHidden/>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span1"/>
    <w:basedOn w:val="9"/>
    <w:qFormat/>
    <w:uiPriority w:val="0"/>
  </w:style>
  <w:style w:type="character" w:customStyle="1" w:styleId="23">
    <w:name w:val="span11"/>
    <w:basedOn w:val="9"/>
    <w:qFormat/>
    <w:uiPriority w:val="0"/>
  </w:style>
  <w:style w:type="character" w:customStyle="1" w:styleId="24">
    <w:name w:val="span2"/>
    <w:basedOn w:val="9"/>
    <w:qFormat/>
    <w:uiPriority w:val="0"/>
    <w:rPr>
      <w:color w:val="B4B4B4"/>
    </w:rPr>
  </w:style>
  <w:style w:type="character" w:customStyle="1" w:styleId="25">
    <w:name w:val="span21"/>
    <w:basedOn w:val="9"/>
    <w:qFormat/>
    <w:uiPriority w:val="0"/>
    <w:rPr>
      <w:color w:val="B4B4B4"/>
    </w:rPr>
  </w:style>
  <w:style w:type="character" w:customStyle="1" w:styleId="26">
    <w:name w:val="span22"/>
    <w:basedOn w:val="9"/>
    <w:qFormat/>
    <w:uiPriority w:val="0"/>
    <w:rPr>
      <w:color w:val="B4B4B4"/>
    </w:rPr>
  </w:style>
  <w:style w:type="character" w:customStyle="1" w:styleId="27">
    <w:name w:val="span23"/>
    <w:basedOn w:val="9"/>
    <w:qFormat/>
    <w:uiPriority w:val="0"/>
    <w:rPr>
      <w:color w:val="B4B4B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3200</Words>
  <Characters>3480</Characters>
  <Lines>2</Lines>
  <Paragraphs>1</Paragraphs>
  <TotalTime>16</TotalTime>
  <ScaleCrop>false</ScaleCrop>
  <LinksUpToDate>false</LinksUpToDate>
  <CharactersWithSpaces>3527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2019-03-26T01:52:00Z</dcterms:created>
  <dc:creator>Administrator</dc:creator>
  <cp:lastModifiedBy>Administrator</cp:lastModifiedBy>
  <cp:lastPrinted>2021-04-19T02:36:00Z</cp:lastPrinted>
  <dcterms:modified xsi:type="dcterms:W3CDTF">2022-04-24T00:43:40Z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D025DFD265DC48EC806A4BF6190C71DD</vt:lpwstr>
  </property>
  <property fmtid="{D5CDD505-2E9C-101B-9397-08002B2CF9AE}" pid="4" name="commondata">
    <vt:lpwstr>eyJoZGlkIjoiZGIwM2ZhMDUwNDM4ZThkNDE0ZmRmNzA4ZTM1YTAyNTkifQ==</vt:lpwstr>
  </property>
</Properties>
</file>